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6C2B11B0" w:rsidR="00E4796C" w:rsidRPr="00A42D69" w:rsidRDefault="006C3447">
      <w:pPr>
        <w:rPr>
          <w:rFonts w:asciiTheme="minorHAnsi" w:hAnsiTheme="minorHAnsi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5289B1" wp14:editId="7BDBCD95">
            <wp:simplePos x="0" y="0"/>
            <wp:positionH relativeFrom="column">
              <wp:posOffset>312420</wp:posOffset>
            </wp:positionH>
            <wp:positionV relativeFrom="paragraph">
              <wp:posOffset>-782320</wp:posOffset>
            </wp:positionV>
            <wp:extent cx="487680" cy="438911"/>
            <wp:effectExtent l="0" t="0" r="0" b="0"/>
            <wp:wrapNone/>
            <wp:docPr id="6162" name="Picture 6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2" name="Picture 616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955D2A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0525430C" w:rsidR="00BC628D" w:rsidRPr="00A42D69" w:rsidRDefault="006C3447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i/>
              </w:rPr>
              <w:t>OZ “Partnerstvo pre MAS Turiec“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955D2A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63BF2127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3667C7CF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4669269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definuje užívateľ samostatne na základe povahy produktu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4AFA5941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47FD0DA9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</w:t>
      </w:r>
      <w:proofErr w:type="spellStart"/>
      <w:r w:rsidR="002E59BB">
        <w:rPr>
          <w:rFonts w:asciiTheme="minorHAnsi" w:hAnsiTheme="minorHAnsi"/>
        </w:rPr>
        <w:t>t.j</w:t>
      </w:r>
      <w:proofErr w:type="spellEnd"/>
      <w:r w:rsidR="002E59BB">
        <w:rPr>
          <w:rFonts w:asciiTheme="minorHAnsi" w:hAnsiTheme="minorHAnsi"/>
        </w:rPr>
        <w:t xml:space="preserve">. ukazovatele označené ako „áno“ bez </w:t>
      </w:r>
      <w:r w:rsidR="00757C6C">
        <w:rPr>
          <w:rFonts w:asciiTheme="minorHAnsi" w:hAnsiTheme="minorHAnsi"/>
        </w:rPr>
        <w:t>dôvetku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5201F777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757C6C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1160CFEF" w:rsidR="008D6927" w:rsidRDefault="008D6927">
      <w:pPr>
        <w:rPr>
          <w:rFonts w:asciiTheme="minorHAnsi" w:hAnsiTheme="minorHAnsi"/>
          <w:i/>
          <w:highlight w:val="yellow"/>
        </w:rPr>
      </w:pPr>
    </w:p>
    <w:p w14:paraId="32E98365" w14:textId="35C214E5" w:rsidR="00056CF6" w:rsidRDefault="00056CF6">
      <w:pPr>
        <w:rPr>
          <w:rFonts w:asciiTheme="minorHAnsi" w:hAnsiTheme="minorHAnsi"/>
        </w:rPr>
      </w:pPr>
    </w:p>
    <w:p w14:paraId="2C709BBE" w14:textId="77777777" w:rsidR="005E6B6E" w:rsidRPr="00CF14C5" w:rsidRDefault="005E6B6E" w:rsidP="00F270E7">
      <w:pPr>
        <w:rPr>
          <w:rFonts w:asciiTheme="minorHAnsi" w:hAnsiTheme="minorHAnsi"/>
        </w:rPr>
      </w:pPr>
    </w:p>
    <w:sectPr w:rsidR="005E6B6E" w:rsidRPr="00CF14C5" w:rsidSect="00F270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A300A" w14:textId="77777777" w:rsidR="00955D2A" w:rsidRDefault="00955D2A">
      <w:r>
        <w:separator/>
      </w:r>
    </w:p>
  </w:endnote>
  <w:endnote w:type="continuationSeparator" w:id="0">
    <w:p w14:paraId="1BF59A50" w14:textId="77777777" w:rsidR="00955D2A" w:rsidRDefault="00955D2A">
      <w:r>
        <w:continuationSeparator/>
      </w:r>
    </w:p>
  </w:endnote>
  <w:endnote w:type="continuationNotice" w:id="1">
    <w:p w14:paraId="4BF7A054" w14:textId="77777777" w:rsidR="00955D2A" w:rsidRDefault="00955D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D0DB0" w14:textId="77777777" w:rsidR="006C3447" w:rsidRDefault="006C344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8EF3" w14:textId="77777777" w:rsidR="006C3447" w:rsidRDefault="006C344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D9B7" w14:textId="77777777" w:rsidR="006C3447" w:rsidRDefault="006C344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89CE3" w14:textId="77777777" w:rsidR="00955D2A" w:rsidRDefault="00955D2A">
      <w:r>
        <w:separator/>
      </w:r>
    </w:p>
  </w:footnote>
  <w:footnote w:type="continuationSeparator" w:id="0">
    <w:p w14:paraId="24AAA50B" w14:textId="77777777" w:rsidR="00955D2A" w:rsidRDefault="00955D2A">
      <w:r>
        <w:continuationSeparator/>
      </w:r>
    </w:p>
  </w:footnote>
  <w:footnote w:type="continuationNotice" w:id="1">
    <w:p w14:paraId="76375D80" w14:textId="77777777" w:rsidR="00955D2A" w:rsidRDefault="00955D2A"/>
  </w:footnote>
  <w:footnote w:id="2">
    <w:p w14:paraId="23620C2B" w14:textId="47511D26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85F2" w14:textId="77777777" w:rsidR="006C3447" w:rsidRDefault="006C34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F069D" w14:textId="77777777" w:rsidR="006C3447" w:rsidRDefault="006C34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35CB" w14:textId="307F7FBA" w:rsidR="00132F16" w:rsidRPr="001F013A" w:rsidRDefault="00A01D03" w:rsidP="00A01D03">
    <w:pPr>
      <w:pStyle w:val="Hlavika"/>
      <w:tabs>
        <w:tab w:val="center" w:pos="6931"/>
        <w:tab w:val="right" w:pos="13863"/>
      </w:tabs>
      <w:jc w:val="left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45D48888" wp14:editId="00BC7984">
          <wp:simplePos x="0" y="0"/>
          <wp:positionH relativeFrom="column">
            <wp:posOffset>4358005</wp:posOffset>
          </wp:positionH>
          <wp:positionV relativeFrom="paragraph">
            <wp:posOffset>-73025</wp:posOffset>
          </wp:positionV>
          <wp:extent cx="1609725" cy="428625"/>
          <wp:effectExtent l="0" t="0" r="9525" b="9525"/>
          <wp:wrapNone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="00132F16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168" behindDoc="1" locked="0" layoutInCell="1" allowOverlap="1" wp14:anchorId="5EC598B0" wp14:editId="331AF6D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32F16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0216791A" wp14:editId="1BFDD69A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068922" w14:textId="77777777" w:rsidR="00132F16" w:rsidRDefault="00132F16" w:rsidP="00132F16">
    <w:pPr>
      <w:pStyle w:val="Hlavika"/>
      <w:jc w:val="left"/>
      <w:rPr>
        <w:rFonts w:ascii="Arial Narrow" w:hAnsi="Arial Narrow" w:cs="Arial"/>
        <w:sz w:val="20"/>
      </w:rPr>
    </w:pPr>
  </w:p>
  <w:p w14:paraId="2CDFE692" w14:textId="77777777" w:rsidR="00132F16" w:rsidRDefault="00132F16" w:rsidP="00132F16">
    <w:pPr>
      <w:pStyle w:val="Hlavika"/>
      <w:rPr>
        <w:rFonts w:ascii="Arial Narrow" w:hAnsi="Arial Narrow" w:cs="Arial"/>
        <w:sz w:val="20"/>
      </w:rPr>
    </w:pPr>
  </w:p>
  <w:p w14:paraId="7B8F13D6" w14:textId="63AA05B2" w:rsidR="00132F16" w:rsidRPr="005E6B6E" w:rsidRDefault="00132F16" w:rsidP="00132F16">
    <w:pPr>
      <w:pStyle w:val="Hlavika"/>
    </w:pPr>
    <w:r w:rsidRPr="002D0E38">
      <w:rPr>
        <w:rFonts w:ascii="Arial Narrow" w:hAnsi="Arial Narrow" w:cs="Arial"/>
        <w:sz w:val="20"/>
      </w:rPr>
      <w:t>Príloha výzvy</w:t>
    </w:r>
    <w:r w:rsidR="00827851">
      <w:rPr>
        <w:rFonts w:ascii="Arial Narrow" w:hAnsi="Arial Narrow" w:cs="Arial"/>
        <w:sz w:val="20"/>
      </w:rPr>
      <w:t xml:space="preserve"> č. 3</w:t>
    </w:r>
    <w:r w:rsidRPr="002D0E38">
      <w:rPr>
        <w:rFonts w:ascii="Arial Narrow" w:hAnsi="Arial Narrow" w:cs="Arial"/>
        <w:sz w:val="20"/>
      </w:rPr>
      <w:t xml:space="preserve">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476C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2F16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3F61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53A6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69A9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462D"/>
    <w:rsid w:val="006B6694"/>
    <w:rsid w:val="006B6C01"/>
    <w:rsid w:val="006B7B9D"/>
    <w:rsid w:val="006C0E53"/>
    <w:rsid w:val="006C10D3"/>
    <w:rsid w:val="006C1B85"/>
    <w:rsid w:val="006C2A5E"/>
    <w:rsid w:val="006C3447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57C6C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11F5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851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D2A"/>
    <w:rsid w:val="00955E83"/>
    <w:rsid w:val="00956C97"/>
    <w:rsid w:val="009608E5"/>
    <w:rsid w:val="009609A0"/>
    <w:rsid w:val="0096171B"/>
    <w:rsid w:val="009657A8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D03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3B92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0E7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1C1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2E49F3"/>
    <w:rsid w:val="003A66DF"/>
    <w:rsid w:val="006E2383"/>
    <w:rsid w:val="00797787"/>
    <w:rsid w:val="00847A00"/>
    <w:rsid w:val="00A74980"/>
    <w:rsid w:val="00AB5E53"/>
    <w:rsid w:val="00B04A22"/>
    <w:rsid w:val="00B62629"/>
    <w:rsid w:val="00BA5E94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0E367-DDF4-434A-92E3-9F0639DD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2021-02-28T09:46:00Z</dcterms:created>
  <dcterms:modified xsi:type="dcterms:W3CDTF">2021-06-14T11:57:00Z</dcterms:modified>
</cp:coreProperties>
</file>